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5" w:rsidRPr="00D81FB0" w:rsidRDefault="00822EA5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4311F1" w:rsidRDefault="00C71BF1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Извещение</w:t>
      </w:r>
      <w:r w:rsidR="00EF2B38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C541F0" w:rsidRPr="00EF2B38">
        <w:rPr>
          <w:b/>
          <w:bCs w:val="0"/>
          <w:color w:val="auto"/>
          <w:spacing w:val="0"/>
          <w:sz w:val="24"/>
          <w:szCs w:val="24"/>
        </w:rPr>
        <w:t>№22000010210000000424</w:t>
      </w:r>
      <w:r w:rsidR="00C541F0">
        <w:rPr>
          <w:b/>
          <w:bCs w:val="0"/>
          <w:color w:val="auto"/>
          <w:spacing w:val="0"/>
          <w:sz w:val="24"/>
          <w:szCs w:val="24"/>
        </w:rPr>
        <w:t xml:space="preserve"> от 07.12.2022г.</w:t>
      </w:r>
      <w:bookmarkStart w:id="0" w:name="_GoBack"/>
      <w:bookmarkEnd w:id="0"/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207767">
        <w:rPr>
          <w:b/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001FF7">
        <w:rPr>
          <w:b/>
          <w:color w:val="auto"/>
          <w:spacing w:val="0"/>
          <w:sz w:val="24"/>
          <w:szCs w:val="24"/>
        </w:rPr>
        <w:t>а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001FF7">
        <w:rPr>
          <w:b/>
          <w:color w:val="auto"/>
          <w:spacing w:val="0"/>
          <w:sz w:val="24"/>
          <w:szCs w:val="24"/>
        </w:rPr>
        <w:t>ого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001FF7">
        <w:rPr>
          <w:b/>
          <w:color w:val="auto"/>
          <w:spacing w:val="0"/>
          <w:sz w:val="24"/>
          <w:szCs w:val="24"/>
        </w:rPr>
        <w:t>а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001FF7">
        <w:rPr>
          <w:bCs w:val="0"/>
          <w:color w:val="auto"/>
          <w:spacing w:val="0"/>
          <w:sz w:val="24"/>
          <w:szCs w:val="24"/>
        </w:rPr>
        <w:t>о</w:t>
      </w:r>
      <w:r w:rsidR="00075765" w:rsidRPr="00D81FB0">
        <w:rPr>
          <w:bCs w:val="0"/>
          <w:color w:val="auto"/>
          <w:spacing w:val="0"/>
          <w:sz w:val="24"/>
          <w:szCs w:val="24"/>
        </w:rPr>
        <w:t>м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D81FB0">
        <w:rPr>
          <w:bCs w:val="0"/>
          <w:color w:val="auto"/>
          <w:spacing w:val="0"/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="00207767">
        <w:rPr>
          <w:bCs w:val="0"/>
          <w:color w:val="auto"/>
          <w:spacing w:val="0"/>
          <w:sz w:val="24"/>
          <w:szCs w:val="24"/>
        </w:rPr>
        <w:t>«О</w:t>
      </w:r>
      <w:r w:rsidRPr="00D81FB0">
        <w:rPr>
          <w:bCs w:val="0"/>
          <w:color w:val="auto"/>
          <w:spacing w:val="0"/>
          <w:sz w:val="24"/>
          <w:szCs w:val="24"/>
        </w:rPr>
        <w:t xml:space="preserve"> проведении аукцион</w:t>
      </w:r>
      <w:r w:rsidR="00001FF7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="00207767">
        <w:rPr>
          <w:bCs w:val="0"/>
          <w:color w:val="auto"/>
          <w:spacing w:val="0"/>
          <w:sz w:val="24"/>
          <w:szCs w:val="24"/>
        </w:rPr>
        <w:t>, государственная собственность на который не разграничена»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001FF7">
        <w:rPr>
          <w:bCs w:val="0"/>
          <w:color w:val="auto"/>
          <w:spacing w:val="0"/>
          <w:sz w:val="24"/>
          <w:szCs w:val="24"/>
        </w:rPr>
        <w:t xml:space="preserve">от </w:t>
      </w:r>
      <w:r w:rsidR="00207767">
        <w:rPr>
          <w:bCs w:val="0"/>
          <w:color w:val="auto"/>
          <w:spacing w:val="0"/>
          <w:sz w:val="24"/>
          <w:szCs w:val="24"/>
        </w:rPr>
        <w:t>09.11</w:t>
      </w:r>
      <w:r w:rsidR="00001FF7" w:rsidRPr="00001FF7">
        <w:rPr>
          <w:bCs w:val="0"/>
          <w:color w:val="auto"/>
          <w:spacing w:val="0"/>
          <w:sz w:val="24"/>
          <w:szCs w:val="24"/>
        </w:rPr>
        <w:t>.2022г. №М04</w:t>
      </w:r>
      <w:r w:rsidR="00CF4D4B">
        <w:rPr>
          <w:bCs w:val="0"/>
          <w:color w:val="auto"/>
          <w:spacing w:val="0"/>
          <w:sz w:val="24"/>
          <w:szCs w:val="24"/>
        </w:rPr>
        <w:t>ТО</w:t>
      </w:r>
      <w:r w:rsidR="00001FF7" w:rsidRPr="00001FF7">
        <w:rPr>
          <w:bCs w:val="0"/>
          <w:color w:val="auto"/>
          <w:spacing w:val="0"/>
          <w:sz w:val="24"/>
          <w:szCs w:val="24"/>
        </w:rPr>
        <w:t>-05-46-П-</w:t>
      </w:r>
      <w:r w:rsidR="00207767">
        <w:rPr>
          <w:bCs w:val="0"/>
          <w:color w:val="auto"/>
          <w:spacing w:val="0"/>
          <w:sz w:val="24"/>
          <w:szCs w:val="24"/>
        </w:rPr>
        <w:t>34804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открытый по составу участников и предложений о цене аукцион на право заключения договора аренды земельного участка (лота</w:t>
      </w:r>
      <w:r w:rsidR="00CF4D4B">
        <w:rPr>
          <w:bCs w:val="0"/>
          <w:color w:val="auto"/>
          <w:spacing w:val="0"/>
          <w:sz w:val="24"/>
          <w:szCs w:val="24"/>
        </w:rPr>
        <w:t xml:space="preserve"> №1</w:t>
      </w:r>
      <w:r w:rsidR="009330A9" w:rsidRPr="00D81FB0">
        <w:rPr>
          <w:bCs w:val="0"/>
          <w:color w:val="auto"/>
          <w:spacing w:val="0"/>
          <w:sz w:val="24"/>
          <w:szCs w:val="24"/>
        </w:rPr>
        <w:t>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001FF7" w:rsidRPr="00C37ADD" w:rsidRDefault="00001FF7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10"/>
          <w:szCs w:val="24"/>
        </w:rPr>
      </w:pPr>
    </w:p>
    <w:p w:rsidR="00B67FFB" w:rsidRDefault="00952119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№1</w:t>
      </w:r>
    </w:p>
    <w:tbl>
      <w:tblPr>
        <w:tblW w:w="9743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379"/>
      </w:tblGrid>
      <w:tr w:rsidR="00CF4D4B" w:rsidRPr="00CF4D4B" w:rsidTr="00CF4D4B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CF4D4B" w:rsidRPr="00CF4D4B" w:rsidTr="00CF4D4B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A6760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r>
              <w:rPr>
                <w:bCs w:val="0"/>
                <w:color w:val="auto"/>
                <w:spacing w:val="0"/>
                <w:sz w:val="24"/>
                <w:lang w:eastAsia="ar-SA"/>
              </w:rPr>
              <w:t>н</w:t>
            </w:r>
            <w:r w:rsidR="00CF4D4B"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аселенных пунктов</w:t>
            </w:r>
          </w:p>
        </w:tc>
      </w:tr>
      <w:tr w:rsidR="00CF4D4B" w:rsidRPr="00CF4D4B" w:rsidTr="00CF4D4B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tabs>
                <w:tab w:val="left" w:pos="1536"/>
              </w:tabs>
              <w:ind w:right="-104"/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CF4D4B">
              <w:rPr>
                <w:spacing w:val="0"/>
                <w:sz w:val="24"/>
                <w:szCs w:val="24"/>
              </w:rPr>
              <w:t xml:space="preserve">Республика Башкортостан, Белебеевский район, г.Белебей, </w:t>
            </w:r>
            <w:proofErr w:type="spellStart"/>
            <w:r w:rsidRPr="00CF4D4B">
              <w:rPr>
                <w:spacing w:val="0"/>
                <w:sz w:val="24"/>
                <w:szCs w:val="24"/>
              </w:rPr>
              <w:t>ул</w:t>
            </w:r>
            <w:proofErr w:type="gramStart"/>
            <w:r w:rsidRPr="00CF4D4B">
              <w:rPr>
                <w:spacing w:val="0"/>
                <w:sz w:val="24"/>
                <w:szCs w:val="24"/>
              </w:rPr>
              <w:t>.В</w:t>
            </w:r>
            <w:proofErr w:type="gramEnd"/>
            <w:r w:rsidRPr="00CF4D4B">
              <w:rPr>
                <w:spacing w:val="0"/>
                <w:sz w:val="24"/>
                <w:szCs w:val="24"/>
              </w:rPr>
              <w:t>осточная</w:t>
            </w:r>
            <w:proofErr w:type="spellEnd"/>
          </w:p>
        </w:tc>
      </w:tr>
      <w:tr w:rsidR="00CF4D4B" w:rsidRPr="00CF4D4B" w:rsidTr="00CF4D4B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suppressAutoHyphens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spacing w:val="0"/>
                <w:sz w:val="24"/>
                <w:szCs w:val="24"/>
              </w:rPr>
              <w:t>02:63:011904:339</w:t>
            </w:r>
          </w:p>
        </w:tc>
      </w:tr>
      <w:tr w:rsidR="00CF4D4B" w:rsidRPr="00CF4D4B" w:rsidTr="00CF4D4B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suppressAutoHyphens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rFonts w:eastAsia="Arial"/>
                <w:color w:val="auto"/>
                <w:spacing w:val="0"/>
                <w:sz w:val="24"/>
                <w:lang w:eastAsia="ar-SA"/>
              </w:rPr>
              <w:t>1526</w:t>
            </w: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кв. м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</w:pPr>
            <w:r w:rsidRPr="00CF4D4B">
              <w:rPr>
                <w:spacing w:val="0"/>
                <w:sz w:val="24"/>
                <w:szCs w:val="24"/>
              </w:rPr>
              <w:t>служебные гаражи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CF4D4B">
              <w:rPr>
                <w:bCs w:val="0"/>
                <w:color w:val="auto"/>
                <w:spacing w:val="0"/>
                <w:kern w:val="16"/>
                <w:sz w:val="24"/>
                <w:szCs w:val="24"/>
              </w:rPr>
              <w:t>2 года 6 месяцев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CF4D4B" w:rsidRPr="00CF4D4B" w:rsidRDefault="00FC7851" w:rsidP="00FC7851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16.01</w:t>
            </w:r>
            <w:r w:rsidR="00CF4D4B" w:rsidRPr="00CF4D4B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.202</w:t>
            </w: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3</w:t>
            </w:r>
            <w:r w:rsidR="00CF4D4B" w:rsidRPr="00CF4D4B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г.</w:t>
            </w:r>
            <w:r w:rsidR="00CF4D4B"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в </w:t>
            </w:r>
            <w:r w:rsidR="00CF4D4B" w:rsidRPr="00CF4D4B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="00CF4D4B"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="00CF4D4B" w:rsidRPr="00CF4D4B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="00CF4D4B"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CF4D4B" w:rsidRPr="00CF4D4B" w:rsidTr="00CF4D4B">
        <w:trPr>
          <w:trHeight w:val="11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EE59B2" w:rsidP="0019609F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EE59B2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13:00 (по местному времени) по адресу: РБ, ул.Красная, д.116, каб.113: - лично или через законного представителя в Отделе по Белебеевскому району и </w:t>
            </w:r>
            <w:proofErr w:type="spellStart"/>
            <w:r w:rsidRPr="00EE59B2">
              <w:rPr>
                <w:bCs w:val="0"/>
                <w:color w:val="auto"/>
                <w:spacing w:val="0"/>
                <w:sz w:val="24"/>
              </w:rPr>
              <w:t>г</w:t>
            </w:r>
            <w:proofErr w:type="gramStart"/>
            <w:r w:rsidRPr="00EE59B2">
              <w:rPr>
                <w:bCs w:val="0"/>
                <w:color w:val="auto"/>
                <w:spacing w:val="0"/>
                <w:sz w:val="24"/>
              </w:rPr>
              <w:t>.Б</w:t>
            </w:r>
            <w:proofErr w:type="gramEnd"/>
            <w:r w:rsidRPr="00EE59B2">
              <w:rPr>
                <w:bCs w:val="0"/>
                <w:color w:val="auto"/>
                <w:spacing w:val="0"/>
                <w:sz w:val="24"/>
              </w:rPr>
              <w:t>елебею</w:t>
            </w:r>
            <w:proofErr w:type="spellEnd"/>
            <w:r w:rsidRPr="00EE59B2">
              <w:rPr>
                <w:bCs w:val="0"/>
                <w:color w:val="auto"/>
                <w:spacing w:val="0"/>
                <w:sz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- посредством почтового отправления по адресу: 452000, Республика Башкортостан, 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FC7851" w:rsidP="00CF4D4B">
            <w:pPr>
              <w:rPr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sz w:val="24"/>
              </w:rPr>
              <w:t>08.12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</w:rPr>
              <w:t>.2022г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. 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  <w:u w:val="single"/>
              </w:rPr>
              <w:t>09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FC7851" w:rsidP="00FC7851">
            <w:pPr>
              <w:rPr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sz w:val="24"/>
              </w:rPr>
              <w:t>11.01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</w:rPr>
              <w:t>.202</w:t>
            </w:r>
            <w:r>
              <w:rPr>
                <w:b/>
                <w:bCs w:val="0"/>
                <w:color w:val="auto"/>
                <w:spacing w:val="0"/>
                <w:sz w:val="24"/>
              </w:rPr>
              <w:t>3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</w:rPr>
              <w:t>г.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>
              <w:rPr>
                <w:b/>
                <w:bCs w:val="0"/>
                <w:color w:val="auto"/>
                <w:spacing w:val="0"/>
                <w:sz w:val="24"/>
                <w:u w:val="single"/>
              </w:rPr>
              <w:t>18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CF4D4B" w:rsidRPr="00CF4D4B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CF4D4B" w:rsidRPr="00CF4D4B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CF4D4B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1 059 562 рубля 84 копейки (один миллион пятьдесят девять тысяч пятьсот шестьдесят два рубля 84 копейки)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 xml:space="preserve">Начальный размер </w:t>
            </w:r>
          </w:p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106 000 рублей 00 копеек (сто шесть тысяч рублей 00 копеек) (</w:t>
            </w:r>
            <w:r w:rsidRPr="00CF4D4B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отчет об оценке №22-962 от 10.10.2022 года)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106 000 рублей 00 копеек (сто шесть тысяч рублей 00 копеек) (100% от начального годового размера арендной платы земельного участка)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3 180 рублей 00 копеек (три тысячи сто восемьдесят рублей 00 копеек) (3% от начального годового размера арендной платы земельного участка)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CF4D4B">
              <w:rPr>
                <w:bCs w:val="0"/>
                <w:color w:val="auto"/>
                <w:spacing w:val="0"/>
                <w:sz w:val="24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Обременения на земельный участок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 xml:space="preserve">Охранная зона инженерных коммуникаций. 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</w:rPr>
              <w:t>Зона охраны искусственных объектов (наименование: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</w:rPr>
              <w:t xml:space="preserve"> РБ, Белебеевский район, г. Белебей. 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</w:rPr>
              <w:t>Охранная зона подземного газопровода среднего давления; ОАО «Газ-Сервис»)</w:t>
            </w:r>
            <w:proofErr w:type="gramEnd"/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 xml:space="preserve">Использовать земельный участок в соответствии </w:t>
            </w:r>
            <w:r w:rsidRPr="00CF4D4B">
              <w:rPr>
                <w:bCs w:val="0"/>
                <w:color w:val="auto"/>
                <w:spacing w:val="0"/>
                <w:sz w:val="24"/>
              </w:rPr>
              <w:br/>
              <w:t>с разрешенным видом использования земельного участка</w:t>
            </w:r>
          </w:p>
        </w:tc>
      </w:tr>
      <w:tr w:rsidR="00CF4D4B" w:rsidRPr="00CF4D4B" w:rsidTr="00CF4D4B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Земельный участок расположен в территориальной зоне    Т-3 - зона размещения транспортной инфраструктуры.</w:t>
            </w:r>
          </w:p>
        </w:tc>
      </w:tr>
      <w:tr w:rsidR="00CF4D4B" w:rsidRPr="00CF4D4B" w:rsidTr="00CF4D4B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Территориальные зоны – Т-3;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Минимальная площадь (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га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) – НР;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Максимальная площадь (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га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) – НР;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 xml:space="preserve">Ширина участка по лицевой границе, м мин./макс. 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–Н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Р;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 xml:space="preserve">Ширина участка по глубине, </w:t>
            </w:r>
            <w:proofErr w:type="gramStart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</w:t>
            </w:r>
            <w:proofErr w:type="gramEnd"/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 xml:space="preserve"> мин./макс. – НР;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Макс. коэффициент застройки – 70 %;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Мин. коэффициент озеленения – 20 %;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Макс. высота оград (м) – НР;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Максимальное количество надземных этажей – НР.</w:t>
            </w:r>
          </w:p>
          <w:p w:rsidR="00CF4D4B" w:rsidRPr="00CF4D4B" w:rsidRDefault="00CF4D4B" w:rsidP="00CF4D4B">
            <w:pPr>
              <w:tabs>
                <w:tab w:val="left" w:pos="1536"/>
              </w:tabs>
              <w:ind w:right="-104"/>
              <w:rPr>
                <w:bCs w:val="0"/>
                <w:color w:val="auto"/>
                <w:spacing w:val="0"/>
                <w:kern w:val="16"/>
                <w:sz w:val="24"/>
                <w:szCs w:val="24"/>
                <w:highlight w:val="yellow"/>
              </w:rPr>
            </w:pPr>
            <w:r w:rsidRPr="00CF4D4B">
              <w:rPr>
                <w:bCs w:val="0"/>
                <w:color w:val="auto"/>
                <w:spacing w:val="0"/>
                <w:sz w:val="24"/>
                <w:szCs w:val="24"/>
              </w:rPr>
              <w:t>НР – не регламентируется.</w:t>
            </w:r>
          </w:p>
        </w:tc>
      </w:tr>
      <w:tr w:rsidR="00CF4D4B" w:rsidRPr="00CF4D4B" w:rsidTr="00CF4D4B">
        <w:trPr>
          <w:trHeight w:val="183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CF4D4B" w:rsidRPr="00CF4D4B" w:rsidRDefault="00CF4D4B" w:rsidP="00CF4D4B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CF4D4B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CF4D4B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150 кВт по </w:t>
            </w:r>
            <w:r w:rsidRPr="00CF4D4B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CF4D4B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БКТП-10/0,4 </w:t>
            </w:r>
            <w:proofErr w:type="spellStart"/>
            <w:r w:rsidRPr="00CF4D4B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CF4D4B">
              <w:rPr>
                <w:bCs w:val="0"/>
                <w:spacing w:val="0"/>
                <w:sz w:val="24"/>
                <w:szCs w:val="24"/>
              </w:rPr>
              <w:t xml:space="preserve"> №113/1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CF4D4B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CF4D4B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CF4D4B">
              <w:rPr>
                <w:bCs w:val="0"/>
                <w:spacing w:val="0"/>
                <w:sz w:val="24"/>
                <w:szCs w:val="24"/>
              </w:rPr>
              <w:t xml:space="preserve"> Правительства РФ от </w:t>
            </w:r>
            <w:r w:rsidRPr="00CF4D4B">
              <w:rPr>
                <w:bCs w:val="0"/>
                <w:spacing w:val="-2"/>
                <w:sz w:val="24"/>
                <w:szCs w:val="24"/>
              </w:rPr>
              <w:t>27.12.2004г. №861</w:t>
            </w:r>
            <w:r w:rsidRPr="00CF4D4B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CF4D4B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CF4D4B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lastRenderedPageBreak/>
              <w:t>Срок действия технических условий законодательно установлен три года.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3000 руб. за 1 кВт.</w:t>
            </w:r>
          </w:p>
          <w:p w:rsidR="00CF4D4B" w:rsidRPr="00CF4D4B" w:rsidRDefault="00CF4D4B" w:rsidP="00CF4D4B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CF4D4B">
              <w:rPr>
                <w:bCs w:val="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CF4D4B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CF4D4B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4D4B">
              <w:rPr>
                <w:bCs w:val="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CF4D4B">
              <w:rPr>
                <w:bCs w:val="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CF4D4B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CF4D4B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CF4D4B" w:rsidRPr="00CF4D4B" w:rsidRDefault="00CF4D4B" w:rsidP="00CF4D4B">
            <w:pPr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</w:rPr>
              <w:t xml:space="preserve">Срок подключения объекта: 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</w:rPr>
              <w:t>Максимальная нагрузка в точке подключения: 1 м</w:t>
            </w:r>
            <w:r w:rsidRPr="00CF4D4B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CF4D4B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CF4D4B">
              <w:rPr>
                <w:color w:val="auto"/>
                <w:spacing w:val="0"/>
                <w:sz w:val="24"/>
                <w:szCs w:val="24"/>
              </w:rPr>
              <w:t>сут</w:t>
            </w:r>
            <w:proofErr w:type="spellEnd"/>
            <w:r w:rsidRPr="00CF4D4B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Водоснабжение:</w:t>
            </w:r>
            <w:r w:rsidRPr="00CF4D4B">
              <w:rPr>
                <w:color w:val="auto"/>
                <w:spacing w:val="0"/>
                <w:sz w:val="24"/>
                <w:szCs w:val="24"/>
              </w:rPr>
              <w:t xml:space="preserve"> Точка подключения водопровод Д=300 мм по </w:t>
            </w:r>
            <w:proofErr w:type="spellStart"/>
            <w:r w:rsidRPr="00CF4D4B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CF4D4B">
              <w:rPr>
                <w:color w:val="auto"/>
                <w:spacing w:val="0"/>
                <w:sz w:val="24"/>
                <w:szCs w:val="24"/>
              </w:rPr>
              <w:t>.В</w:t>
            </w:r>
            <w:proofErr w:type="gramEnd"/>
            <w:r w:rsidRPr="00CF4D4B">
              <w:rPr>
                <w:color w:val="auto"/>
                <w:spacing w:val="0"/>
                <w:sz w:val="24"/>
                <w:szCs w:val="24"/>
              </w:rPr>
              <w:t>осточная</w:t>
            </w:r>
            <w:proofErr w:type="spellEnd"/>
            <w:r w:rsidRPr="00CF4D4B">
              <w:rPr>
                <w:color w:val="auto"/>
                <w:spacing w:val="0"/>
                <w:sz w:val="24"/>
                <w:szCs w:val="24"/>
              </w:rPr>
              <w:t>, в районе здания 77 в г. Белебей.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  <w:u w:val="single"/>
              </w:rPr>
              <w:t>Водоотведение:</w:t>
            </w:r>
            <w:r w:rsidRPr="00CF4D4B">
              <w:rPr>
                <w:color w:val="auto"/>
                <w:spacing w:val="0"/>
                <w:sz w:val="24"/>
                <w:szCs w:val="24"/>
              </w:rPr>
              <w:t xml:space="preserve"> Точка подключения канализационный коллектор Д=700 мм </w:t>
            </w:r>
            <w:proofErr w:type="spellStart"/>
            <w:r w:rsidRPr="00CF4D4B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CF4D4B">
              <w:rPr>
                <w:color w:val="auto"/>
                <w:spacing w:val="0"/>
                <w:sz w:val="24"/>
                <w:szCs w:val="24"/>
              </w:rPr>
              <w:t>.В</w:t>
            </w:r>
            <w:proofErr w:type="gramEnd"/>
            <w:r w:rsidRPr="00CF4D4B">
              <w:rPr>
                <w:color w:val="auto"/>
                <w:spacing w:val="0"/>
                <w:sz w:val="24"/>
                <w:szCs w:val="24"/>
              </w:rPr>
              <w:t>осточная</w:t>
            </w:r>
            <w:proofErr w:type="spellEnd"/>
            <w:r w:rsidRPr="00CF4D4B">
              <w:rPr>
                <w:color w:val="auto"/>
                <w:spacing w:val="0"/>
                <w:sz w:val="24"/>
                <w:szCs w:val="24"/>
              </w:rPr>
              <w:t xml:space="preserve">, в районе здания 77 в г. Белебей. 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CF4D4B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CF4D4B">
              <w:rPr>
                <w:color w:val="auto"/>
                <w:spacing w:val="0"/>
                <w:sz w:val="24"/>
                <w:szCs w:val="24"/>
              </w:rPr>
              <w:t xml:space="preserve"> 3-х лет со дня выдачи. </w:t>
            </w:r>
          </w:p>
          <w:p w:rsidR="00CF4D4B" w:rsidRPr="00CF4D4B" w:rsidRDefault="00CF4D4B" w:rsidP="00CF4D4B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4D4B">
              <w:rPr>
                <w:color w:val="auto"/>
                <w:spacing w:val="0"/>
                <w:sz w:val="24"/>
                <w:szCs w:val="24"/>
              </w:rPr>
              <w:t>В случае если в течение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 до окончания срока действия такого договора.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</w:pPr>
            <w:r w:rsidRPr="00CF4D4B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CF4D4B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CF4D4B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CF4D4B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CF4D4B">
              <w:rPr>
                <w:bCs w:val="0"/>
                <w:color w:val="auto"/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Техническая возможность подключения к сети 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lastRenderedPageBreak/>
              <w:t>газораспределения объекта капитального строительства с максимальным часовым расходом газа не более 20 м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Ду</w:t>
            </w:r>
            <w:proofErr w:type="spell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 426 мм от ГРС Белебей до завода в </w:t>
            </w:r>
            <w:proofErr w:type="spell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г</w:t>
            </w:r>
            <w:proofErr w:type="gram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.Б</w:t>
            </w:r>
            <w:proofErr w:type="gram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елебее</w:t>
            </w:r>
            <w:proofErr w:type="spell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В границах земельного участка проложен газопровод среднего давления в государственной собственности. 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proofErr w:type="gram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 xml:space="preserve">, и (или) по постановке прибора учета газа. 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CF4D4B">
              <w:rPr>
                <w:bCs w:val="0"/>
                <w:color w:val="auto"/>
                <w:spacing w:val="-2"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CF4D4B" w:rsidRPr="00CF4D4B" w:rsidRDefault="00CF4D4B" w:rsidP="00CF4D4B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CF4D4B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CF4D4B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CF4D4B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CF4D4B" w:rsidRPr="00CF4D4B" w:rsidRDefault="00CF4D4B" w:rsidP="00CF4D4B">
            <w:pPr>
              <w:jc w:val="both"/>
              <w:rPr>
                <w:bCs w:val="0"/>
                <w:color w:val="FF0000"/>
                <w:spacing w:val="-2"/>
                <w:sz w:val="24"/>
                <w:szCs w:val="24"/>
                <w:highlight w:val="yellow"/>
              </w:rPr>
            </w:pPr>
            <w:r w:rsidRPr="00CF4D4B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7E4543" w:rsidRPr="00D81FB0" w:rsidRDefault="00B67FFB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lastRenderedPageBreak/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CF4D4B">
        <w:rPr>
          <w:b/>
          <w:color w:val="auto"/>
          <w:spacing w:val="0"/>
          <w:sz w:val="24"/>
          <w:szCs w:val="24"/>
        </w:rPr>
        <w:t>16.01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CF4D4B">
        <w:rPr>
          <w:b/>
          <w:color w:val="auto"/>
          <w:spacing w:val="0"/>
          <w:sz w:val="24"/>
          <w:szCs w:val="24"/>
        </w:rPr>
        <w:t>3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CF4D4B">
        <w:rPr>
          <w:rFonts w:eastAsia="Calibri"/>
          <w:b/>
          <w:color w:val="auto"/>
          <w:spacing w:val="0"/>
          <w:sz w:val="24"/>
          <w:szCs w:val="24"/>
        </w:rPr>
        <w:t>08.12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CF4D4B">
        <w:rPr>
          <w:rFonts w:eastAsia="Calibri"/>
          <w:b/>
          <w:color w:val="auto"/>
          <w:spacing w:val="0"/>
          <w:sz w:val="24"/>
          <w:szCs w:val="24"/>
        </w:rPr>
        <w:t>11.01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CF4D4B">
        <w:rPr>
          <w:rFonts w:eastAsia="Calibri"/>
          <w:b/>
          <w:color w:val="auto"/>
          <w:spacing w:val="0"/>
          <w:sz w:val="24"/>
          <w:szCs w:val="24"/>
        </w:rPr>
        <w:t>3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CF4D4B">
        <w:rPr>
          <w:bCs w:val="0"/>
          <w:color w:val="auto"/>
          <w:spacing w:val="0"/>
          <w:sz w:val="24"/>
          <w:szCs w:val="24"/>
        </w:rPr>
        <w:t>понедельник-</w:t>
      </w:r>
      <w:r w:rsidR="00FE0AD8" w:rsidRPr="00D81FB0">
        <w:rPr>
          <w:bCs w:val="0"/>
          <w:color w:val="auto"/>
          <w:spacing w:val="0"/>
          <w:sz w:val="24"/>
          <w:szCs w:val="24"/>
        </w:rPr>
        <w:t>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</w:t>
      </w:r>
      <w:r w:rsidR="0019609F">
        <w:rPr>
          <w:bCs w:val="0"/>
          <w:color w:val="auto"/>
          <w:spacing w:val="0"/>
          <w:sz w:val="24"/>
          <w:szCs w:val="24"/>
        </w:rPr>
        <w:t>3</w:t>
      </w:r>
      <w:r w:rsidR="00FE0AD8" w:rsidRPr="00D81FB0">
        <w:rPr>
          <w:bCs w:val="0"/>
          <w:color w:val="auto"/>
          <w:spacing w:val="0"/>
          <w:sz w:val="24"/>
          <w:szCs w:val="24"/>
        </w:rPr>
        <w:t>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Default="00CD3DC0" w:rsidP="00001FF7">
      <w:pPr>
        <w:ind w:right="-104" w:firstLine="567"/>
        <w:jc w:val="both"/>
        <w:rPr>
          <w:rFonts w:eastAsia="Calibri"/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19609F">
        <w:rPr>
          <w:rStyle w:val="a8"/>
          <w:color w:val="auto"/>
          <w:spacing w:val="0"/>
          <w:sz w:val="24"/>
          <w:szCs w:val="24"/>
        </w:rPr>
        <w:t>13.01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19609F">
        <w:rPr>
          <w:rStyle w:val="a8"/>
          <w:color w:val="auto"/>
          <w:spacing w:val="0"/>
          <w:sz w:val="24"/>
          <w:szCs w:val="24"/>
        </w:rPr>
        <w:t>3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19609F" w:rsidRPr="00D81FB0" w:rsidRDefault="0019609F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</w:p>
    <w:p w:rsidR="00373C03" w:rsidRPr="00D81FB0" w:rsidRDefault="00373C03" w:rsidP="00001FF7">
      <w:pPr>
        <w:ind w:right="-104" w:firstLine="567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19609F">
        <w:rPr>
          <w:b/>
          <w:color w:val="auto"/>
          <w:spacing w:val="0"/>
          <w:sz w:val="24"/>
          <w:szCs w:val="24"/>
        </w:rPr>
        <w:t>а</w:t>
      </w:r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___________________________________________, (лот №____</w:t>
      </w: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 )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>, кадастровый номер___________________».</w:t>
      </w:r>
    </w:p>
    <w:p w:rsidR="00BC4201" w:rsidRPr="00D81FB0" w:rsidRDefault="00F72141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19609F">
        <w:rPr>
          <w:b/>
          <w:bCs w:val="0"/>
          <w:color w:val="auto"/>
          <w:spacing w:val="0"/>
          <w:sz w:val="24"/>
          <w:szCs w:val="24"/>
        </w:rPr>
        <w:t>1</w:t>
      </w:r>
      <w:r w:rsidR="002372F7">
        <w:rPr>
          <w:b/>
          <w:bCs w:val="0"/>
          <w:color w:val="auto"/>
          <w:spacing w:val="0"/>
          <w:sz w:val="24"/>
          <w:szCs w:val="24"/>
        </w:rPr>
        <w:t>3</w:t>
      </w:r>
      <w:r w:rsidR="0019609F">
        <w:rPr>
          <w:b/>
          <w:bCs w:val="0"/>
          <w:color w:val="auto"/>
          <w:spacing w:val="0"/>
          <w:sz w:val="24"/>
          <w:szCs w:val="24"/>
        </w:rPr>
        <w:t>.01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19609F">
        <w:rPr>
          <w:b/>
          <w:bCs w:val="0"/>
          <w:color w:val="auto"/>
          <w:spacing w:val="0"/>
          <w:sz w:val="24"/>
          <w:szCs w:val="24"/>
        </w:rPr>
        <w:t>3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001FF7">
      <w:pPr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001FF7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lastRenderedPageBreak/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6316B8">
      <w:pPr>
        <w:ind w:firstLine="539"/>
        <w:jc w:val="both"/>
        <w:rPr>
          <w:color w:val="auto"/>
          <w:spacing w:val="0"/>
          <w:sz w:val="24"/>
        </w:rPr>
      </w:pPr>
      <w:proofErr w:type="gramStart"/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6316B8" w:rsidRPr="006316B8">
        <w:rPr>
          <w:color w:val="auto"/>
          <w:spacing w:val="0"/>
          <w:sz w:val="24"/>
          <w:szCs w:val="24"/>
        </w:rPr>
        <w:t>по рабочим дням с 09:00 до 13:00 (по местному времени)</w:t>
      </w:r>
      <w:r w:rsidR="006316B8">
        <w:rPr>
          <w:color w:val="auto"/>
          <w:spacing w:val="0"/>
          <w:sz w:val="24"/>
          <w:szCs w:val="24"/>
        </w:rPr>
        <w:t xml:space="preserve"> </w:t>
      </w:r>
      <w:r w:rsidRPr="00D81FB0">
        <w:rPr>
          <w:color w:val="auto"/>
          <w:spacing w:val="0"/>
          <w:sz w:val="24"/>
          <w:szCs w:val="24"/>
        </w:rPr>
        <w:t>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  <w:proofErr w:type="gramEnd"/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0B" w:rsidRDefault="00A6760B">
      <w:r>
        <w:separator/>
      </w:r>
    </w:p>
  </w:endnote>
  <w:endnote w:type="continuationSeparator" w:id="0">
    <w:p w:rsidR="00A6760B" w:rsidRDefault="00A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0B" w:rsidRDefault="00A6760B">
      <w:r>
        <w:separator/>
      </w:r>
    </w:p>
  </w:footnote>
  <w:footnote w:type="continuationSeparator" w:id="0">
    <w:p w:rsidR="00A6760B" w:rsidRDefault="00A6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1FF7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9609F"/>
    <w:rsid w:val="001A5D16"/>
    <w:rsid w:val="001B67D7"/>
    <w:rsid w:val="001E2494"/>
    <w:rsid w:val="001E5892"/>
    <w:rsid w:val="00207767"/>
    <w:rsid w:val="00210987"/>
    <w:rsid w:val="00224716"/>
    <w:rsid w:val="00227AB8"/>
    <w:rsid w:val="002372F7"/>
    <w:rsid w:val="00240170"/>
    <w:rsid w:val="00244A2D"/>
    <w:rsid w:val="00246474"/>
    <w:rsid w:val="00256AE8"/>
    <w:rsid w:val="00263938"/>
    <w:rsid w:val="002651D2"/>
    <w:rsid w:val="002858A8"/>
    <w:rsid w:val="00290AF1"/>
    <w:rsid w:val="00293F18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7FD9"/>
    <w:rsid w:val="00404E1E"/>
    <w:rsid w:val="00405AD0"/>
    <w:rsid w:val="00410031"/>
    <w:rsid w:val="00412D88"/>
    <w:rsid w:val="004311F1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715E"/>
    <w:rsid w:val="005C7200"/>
    <w:rsid w:val="005D506C"/>
    <w:rsid w:val="005D6027"/>
    <w:rsid w:val="005E0188"/>
    <w:rsid w:val="005E63F6"/>
    <w:rsid w:val="00602237"/>
    <w:rsid w:val="0060296B"/>
    <w:rsid w:val="00622A2B"/>
    <w:rsid w:val="00626653"/>
    <w:rsid w:val="006309C2"/>
    <w:rsid w:val="00630D2D"/>
    <w:rsid w:val="006316B8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0784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47E"/>
    <w:rsid w:val="00A45D2A"/>
    <w:rsid w:val="00A5133A"/>
    <w:rsid w:val="00A52B53"/>
    <w:rsid w:val="00A5474B"/>
    <w:rsid w:val="00A6652A"/>
    <w:rsid w:val="00A6760B"/>
    <w:rsid w:val="00A7145D"/>
    <w:rsid w:val="00A801F1"/>
    <w:rsid w:val="00A916C1"/>
    <w:rsid w:val="00AA6303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5B53"/>
    <w:rsid w:val="00B0324B"/>
    <w:rsid w:val="00B20118"/>
    <w:rsid w:val="00B2568B"/>
    <w:rsid w:val="00B26BBA"/>
    <w:rsid w:val="00B44DBD"/>
    <w:rsid w:val="00B55371"/>
    <w:rsid w:val="00B67FFB"/>
    <w:rsid w:val="00B842D2"/>
    <w:rsid w:val="00B87BBE"/>
    <w:rsid w:val="00B92FD4"/>
    <w:rsid w:val="00BA0BB8"/>
    <w:rsid w:val="00BC4201"/>
    <w:rsid w:val="00C01E54"/>
    <w:rsid w:val="00C04EA4"/>
    <w:rsid w:val="00C33831"/>
    <w:rsid w:val="00C37ADD"/>
    <w:rsid w:val="00C43B13"/>
    <w:rsid w:val="00C44EAF"/>
    <w:rsid w:val="00C5307E"/>
    <w:rsid w:val="00C541F0"/>
    <w:rsid w:val="00C55EE9"/>
    <w:rsid w:val="00C62533"/>
    <w:rsid w:val="00C6510E"/>
    <w:rsid w:val="00C67B8D"/>
    <w:rsid w:val="00C71BF1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4D4B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24143"/>
    <w:rsid w:val="00E3308B"/>
    <w:rsid w:val="00E40C03"/>
    <w:rsid w:val="00E4476F"/>
    <w:rsid w:val="00E52E53"/>
    <w:rsid w:val="00E549CA"/>
    <w:rsid w:val="00E6072E"/>
    <w:rsid w:val="00E64802"/>
    <w:rsid w:val="00E65267"/>
    <w:rsid w:val="00EA5266"/>
    <w:rsid w:val="00EC05D4"/>
    <w:rsid w:val="00EE316D"/>
    <w:rsid w:val="00EE59B2"/>
    <w:rsid w:val="00EF2B38"/>
    <w:rsid w:val="00F00786"/>
    <w:rsid w:val="00F01B0B"/>
    <w:rsid w:val="00F02EFE"/>
    <w:rsid w:val="00F12AED"/>
    <w:rsid w:val="00F16638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C7851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2198</Words>
  <Characters>15896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14</cp:revision>
  <cp:lastPrinted>2022-12-07T09:35:00Z</cp:lastPrinted>
  <dcterms:created xsi:type="dcterms:W3CDTF">2022-12-02T06:47:00Z</dcterms:created>
  <dcterms:modified xsi:type="dcterms:W3CDTF">2022-12-07T09:47:00Z</dcterms:modified>
</cp:coreProperties>
</file>